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50" w:lineRule="atLeast"/>
        <w:jc w:val="center"/>
        <w:rPr>
          <w:rFonts w:ascii="仿宋" w:hAnsi="仿宋" w:eastAsia="仿宋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spacing w:line="750" w:lineRule="atLeast"/>
        <w:jc w:val="center"/>
        <w:rPr>
          <w:rFonts w:ascii="仿宋" w:hAnsi="仿宋" w:eastAsia="仿宋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="Times New Roman"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cs="Times New Roman"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忻府区2018年国民经济和社会发展</w:t>
      </w:r>
    </w:p>
    <w:p>
      <w:pPr>
        <w:jc w:val="center"/>
        <w:rPr>
          <w:rFonts w:cs="Times New Roman"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统计公报</w:t>
      </w:r>
    </w:p>
    <w:bookmarkEnd w:id="0"/>
    <w:p>
      <w:pPr>
        <w:spacing w:line="560" w:lineRule="exact"/>
        <w:jc w:val="center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忻  府  区  统  计  局</w:t>
      </w:r>
    </w:p>
    <w:p>
      <w:pPr>
        <w:jc w:val="center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2019年4月</w:t>
      </w:r>
    </w:p>
    <w:p>
      <w:pPr>
        <w:widowControl/>
        <w:spacing w:line="750" w:lineRule="atLeast"/>
        <w:jc w:val="center"/>
        <w:rPr>
          <w:rFonts w:ascii="仿宋" w:hAnsi="仿宋" w:eastAsia="仿宋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　　 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2018年，在区委、区政府的坚强领导下，全区上下坚持以习近平新时代中国特色社会主义思想为指导，深入贯彻党的十九大和习近平总书记视察山西重要讲话精神，坚持稳中求进工作总基调，坚持新发展理念，统筹推进稳增长、促改革、调结构、惠民生、防风险各项工作，全区经济稳中向好,各项社会事业发展成绩显著，继续向全面建成小康社会的目标阔步前进。 </w:t>
      </w:r>
    </w:p>
    <w:p>
      <w:pPr>
        <w:jc w:val="center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一、综  合</w:t>
      </w:r>
    </w:p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　　据2018年人口抽样调查，年末全区常住人口567072人，比上年末增加2194人，其中，城镇常住人口370963人，占总人口比重（常住人口城镇化率）为65.42%，比上年末提高1.82个百分点。全区出生人口5485人，人口出生率9.69‰；死亡人口3292人，死亡率5.82‰；自然增长率3.87‰。 </w:t>
      </w:r>
    </w:p>
    <w:tbl>
      <w:tblPr>
        <w:tblStyle w:val="5"/>
        <w:tblW w:w="89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5"/>
        <w:gridCol w:w="2016"/>
        <w:gridCol w:w="33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表 1  2018年人口数及其构成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单位:人、%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年末数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比重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全区常住人口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567072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其中:城 镇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370963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65.42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乡 村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196109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34.58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其中:男 性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284853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50.23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615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女 性</w:t>
            </w:r>
          </w:p>
        </w:tc>
        <w:tc>
          <w:tcPr>
            <w:tcW w:w="201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282219</w:t>
            </w:r>
          </w:p>
        </w:tc>
        <w:tc>
          <w:tcPr>
            <w:tcW w:w="33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49.77 </w:t>
            </w:r>
          </w:p>
        </w:tc>
      </w:tr>
    </w:tbl>
    <w:p>
      <w:pPr>
        <w:widowControl/>
        <w:jc w:val="center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初步核算，全区全年实现地区生产总值166.9亿元，按不变价计算，比上年增长5.9%。其中，第一产业增加值10.5亿元，增长1.8%，占生产总值的比重6.3%；第二产业增加值51.3亿元，增长8.7%，占生产总值的比重30.7%；第三产业增加值105.1亿元，增长5.2%，占生产总值的比重63.0%。 </w:t>
      </w:r>
    </w:p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　　人均地区生产总值29484元，按2018年平均汇率计算为4456美元。 </w:t>
      </w:r>
    </w:p>
    <w:p>
      <w:pPr>
        <w:widowControl/>
        <w:jc w:val="center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274310" cy="3229610"/>
            <wp:effectExtent l="0" t="0" r="2540" b="889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全年全区一般公共预算收入完成4.89亿元，增长5.7%。税收收入完成4.19亿元，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其中，国内增值税0.69亿元、营业税0.02亿元、企业所得税0.37亿元、个人所得税0.19亿元、资源税0.05亿元。</w:t>
      </w:r>
    </w:p>
    <w:p>
      <w:pPr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一般公共预算支出19.91亿元，下降3.8%。其中，教育4.19亿元、医疗卫生2.01亿元、社会保障和就业4.62亿元、住房保障0.55亿元、公共交通运输0.31亿元、节能环保1.05亿元、城乡社区事务1.06亿元，合计13.79亿元，增长2.7%。</w:t>
      </w:r>
    </w:p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</w:rPr>
        <w:drawing>
          <wp:inline distT="0" distB="0" distL="0" distR="0">
            <wp:extent cx="5274310" cy="3632835"/>
            <wp:effectExtent l="0" t="0" r="2540" b="5715"/>
            <wp:docPr id="22" name="图表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全年全区城镇新增就业4295人。转移富余农村劳动力4410人。年末城镇登记失业率2.5%。 </w:t>
      </w:r>
    </w:p>
    <w:p>
      <w:pPr>
        <w:pStyle w:val="8"/>
        <w:spacing w:before="156" w:beforeLines="50" w:after="156" w:afterLines="50"/>
        <w:jc w:val="center"/>
        <w:rPr>
          <w:rFonts w:ascii="仿宋" w:hAnsi="仿宋" w:eastAsia="仿宋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二、农  业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全区农作物种植面积52.37千公顷，比上年减少0.11千公顷。其中，粮食种植面积44.27千公顷，增加0.45千公顷；蔬菜种植面积6.22千公顷，减少0.61千公顷；油料种植面积0.05千公顷，与上年持平。在粮食种植面积中，玉米种植面积40.57千公顷，减少0.12千公顷；果园面积1.27千公顷，与上年相同。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全年全区粮食产量28.73万吨，增加1.32万吨，增产4.65%。</w:t>
      </w:r>
    </w:p>
    <w:p>
      <w:pPr>
        <w:spacing w:line="620" w:lineRule="exact"/>
        <w:ind w:firstLine="840" w:firstLineChars="350"/>
        <w:jc w:val="center"/>
        <w:rPr>
          <w:rFonts w:ascii="仿宋" w:hAnsi="仿宋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620" w:lineRule="exact"/>
        <w:ind w:firstLine="843" w:firstLineChars="350"/>
        <w:jc w:val="center"/>
        <w:rPr>
          <w:rFonts w:ascii="仿宋" w:hAnsi="仿宋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表2  </w:t>
      </w:r>
      <w:r>
        <w:rPr>
          <w:rFonts w:ascii="仿宋" w:hAnsi="仿宋" w:eastAsia="仿宋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8年主要农林产品产量及其增长速度</w:t>
      </w:r>
    </w:p>
    <w:p>
      <w:pPr>
        <w:jc w:val="right"/>
        <w:rPr>
          <w:rFonts w:ascii="仿宋" w:hAnsi="仿宋" w:eastAsia="仿宋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单位：</w:t>
      </w:r>
      <w:r>
        <w:rPr>
          <w:rFonts w:hint="eastAsia" w:ascii="仿宋" w:hAnsi="仿宋" w:eastAsia="仿宋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万吨</w:t>
      </w:r>
    </w:p>
    <w:tbl>
      <w:tblPr>
        <w:tblStyle w:val="5"/>
        <w:tblW w:w="830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00"/>
        <w:gridCol w:w="2603"/>
        <w:gridCol w:w="220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350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57" w:right="57"/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26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57" w:right="57"/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  量</w:t>
            </w:r>
          </w:p>
        </w:tc>
        <w:tc>
          <w:tcPr>
            <w:tcW w:w="22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360" w:lineRule="auto"/>
              <w:ind w:left="57" w:right="57"/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比上年增长%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5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105" w:firstLineChars="5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粮  食</w:t>
            </w:r>
          </w:p>
        </w:tc>
        <w:tc>
          <w:tcPr>
            <w:tcW w:w="26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firstLine="105" w:firstLineChars="50"/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29.75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105" w:firstLineChars="5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其中：玉  米</w:t>
            </w:r>
          </w:p>
        </w:tc>
        <w:tc>
          <w:tcPr>
            <w:tcW w:w="26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firstLine="105" w:firstLineChars="50"/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28.95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105" w:firstLineChars="5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小  麦</w:t>
            </w:r>
          </w:p>
        </w:tc>
        <w:tc>
          <w:tcPr>
            <w:tcW w:w="26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firstLine="105" w:firstLineChars="50"/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105" w:firstLineChars="5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谷  子</w:t>
            </w:r>
          </w:p>
        </w:tc>
        <w:tc>
          <w:tcPr>
            <w:tcW w:w="26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firstLine="105" w:firstLineChars="50"/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0.35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-22.2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945" w:firstLineChars="45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豆  类</w:t>
            </w:r>
          </w:p>
        </w:tc>
        <w:tc>
          <w:tcPr>
            <w:tcW w:w="26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firstLine="105" w:firstLineChars="50"/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0.03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-40.0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945" w:firstLineChars="45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薯  类（折粮）</w:t>
            </w:r>
          </w:p>
        </w:tc>
        <w:tc>
          <w:tcPr>
            <w:tcW w:w="26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firstLine="105" w:firstLineChars="50"/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0.09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-35.7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105" w:firstLineChars="5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油  料</w:t>
            </w:r>
          </w:p>
        </w:tc>
        <w:tc>
          <w:tcPr>
            <w:tcW w:w="26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105" w:firstLineChars="5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蔬菜及食用菌</w:t>
            </w:r>
          </w:p>
        </w:tc>
        <w:tc>
          <w:tcPr>
            <w:tcW w:w="26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11.72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105" w:firstLineChars="5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  果</w:t>
            </w:r>
          </w:p>
        </w:tc>
        <w:tc>
          <w:tcPr>
            <w:tcW w:w="26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2.59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-27.9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105" w:firstLineChars="5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其中：瓜果类</w:t>
            </w:r>
          </w:p>
          <w:p>
            <w:pPr>
              <w:spacing w:before="62" w:beforeLines="20" w:after="62" w:afterLines="20" w:line="180" w:lineRule="exact"/>
              <w:ind w:firstLine="105" w:firstLineChars="5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1.83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-25.6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105" w:firstLineChars="5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园林水果</w:t>
            </w:r>
          </w:p>
        </w:tc>
        <w:tc>
          <w:tcPr>
            <w:tcW w:w="26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0.76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-32.7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105" w:firstLineChars="5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食用坚果</w:t>
            </w:r>
          </w:p>
        </w:tc>
        <w:tc>
          <w:tcPr>
            <w:tcW w:w="260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0.04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-42.8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50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</w:tcPr>
          <w:p>
            <w:pPr>
              <w:spacing w:before="62" w:beforeLines="20" w:after="62" w:afterLines="20" w:line="180" w:lineRule="exact"/>
              <w:ind w:firstLine="315" w:firstLineChars="15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其中：核  桃</w:t>
            </w:r>
          </w:p>
        </w:tc>
        <w:tc>
          <w:tcPr>
            <w:tcW w:w="2603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0.04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before="62" w:beforeLines="20" w:after="62" w:afterLines="20" w:line="180" w:lineRule="exact"/>
              <w:ind w:right="315" w:rightChars="150" w:firstLine="105" w:firstLineChars="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-42.8</w:t>
            </w:r>
          </w:p>
        </w:tc>
      </w:tr>
    </w:tbl>
    <w:p>
      <w:pPr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全年全区完成造林面积1.01千公顷，下降20.47%。</w:t>
      </w:r>
    </w:p>
    <w:p>
      <w:pPr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全区猪牛羊肉总产量0.87万吨，增长1.14%。其中，猪肉产量0.67万吨，增长1.36%；牛肉产量0.04万吨，增长2.34%；羊肉产量0.10万吨，下降0.1%。牛奶产量3.27万吨，增长0.02%。禽蛋产量0.73万吨，下降0.03%。年末生猪存栏4.33万头，生猪出栏8.32万头。</w:t>
      </w:r>
    </w:p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仿宋" w:hAnsi="仿宋" w:eastAsia="仿宋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三、工业和建筑业</w:t>
      </w:r>
    </w:p>
    <w:p>
      <w:pPr>
        <w:widowControl/>
        <w:ind w:firstLine="480"/>
        <w:jc w:val="left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全年全区规模以上工业增加值比上年增长8.1%，全市排名第八。</w:t>
      </w:r>
    </w:p>
    <w:p>
      <w:pPr>
        <w:spacing w:before="156" w:beforeLines="50"/>
        <w:ind w:firstLine="361" w:firstLineChars="150"/>
        <w:jc w:val="center"/>
        <w:rPr>
          <w:rFonts w:ascii="仿宋" w:hAnsi="仿宋" w:eastAsia="仿宋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表3  </w:t>
      </w:r>
      <w:r>
        <w:rPr>
          <w:rFonts w:ascii="仿宋" w:hAnsi="仿宋" w:eastAsia="仿宋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8年规模以上工业增加值增长速度</w:t>
      </w:r>
      <w:r>
        <w:rPr>
          <w:rFonts w:hint="eastAsia" w:ascii="仿宋" w:hAnsi="仿宋" w:eastAsia="仿宋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before="156" w:beforeLines="50"/>
        <w:ind w:firstLine="361" w:firstLineChars="150"/>
        <w:jc w:val="center"/>
        <w:rPr>
          <w:rFonts w:ascii="仿宋" w:hAnsi="仿宋" w:eastAsia="仿宋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</w:t>
      </w:r>
    </w:p>
    <w:tbl>
      <w:tblPr>
        <w:tblStyle w:val="5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1842"/>
        <w:gridCol w:w="27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7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指    标</w:t>
            </w:r>
          </w:p>
        </w:tc>
        <w:tc>
          <w:tcPr>
            <w:tcW w:w="2744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比上年增长%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936" w:type="dxa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vAlign w:val="bottom"/>
          </w:tcPr>
          <w:p>
            <w:pPr>
              <w:ind w:firstLine="420" w:firstLineChars="20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规模以上工业</w:t>
            </w:r>
          </w:p>
        </w:tc>
        <w:tc>
          <w:tcPr>
            <w:tcW w:w="1842" w:type="dxa"/>
            <w:tcBorders>
              <w:top w:val="nil"/>
              <w:bottom w:val="nil"/>
              <w:right w:val="single" w:color="auto" w:sz="6" w:space="0"/>
            </w:tcBorders>
          </w:tcPr>
          <w:p>
            <w:pPr>
              <w:tabs>
                <w:tab w:val="decimal" w:pos="320"/>
              </w:tabs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4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936" w:type="dxa"/>
            <w:tcBorders>
              <w:top w:val="nil"/>
              <w:left w:val="nil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其中：石油、煤炭其他燃料</w:t>
            </w:r>
          </w:p>
        </w:tc>
        <w:tc>
          <w:tcPr>
            <w:tcW w:w="1842" w:type="dxa"/>
            <w:tcBorders>
              <w:top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4" w:type="dxa"/>
            <w:tcBorders>
              <w:top w:val="nil"/>
              <w:left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936" w:type="dxa"/>
            <w:tcBorders>
              <w:top w:val="nil"/>
              <w:left w:val="nil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煤层气工业</w:t>
            </w:r>
          </w:p>
        </w:tc>
        <w:tc>
          <w:tcPr>
            <w:tcW w:w="1842" w:type="dxa"/>
            <w:tcBorders>
              <w:top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4" w:type="dxa"/>
            <w:tcBorders>
              <w:top w:val="nil"/>
              <w:left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936" w:type="dxa"/>
            <w:tcBorders>
              <w:top w:val="nil"/>
              <w:left w:val="nil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电力工业</w:t>
            </w:r>
          </w:p>
        </w:tc>
        <w:tc>
          <w:tcPr>
            <w:tcW w:w="1842" w:type="dxa"/>
            <w:tcBorders>
              <w:top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4" w:type="dxa"/>
            <w:tcBorders>
              <w:top w:val="nil"/>
              <w:left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936" w:type="dxa"/>
            <w:tcBorders>
              <w:top w:val="nil"/>
              <w:left w:val="nil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冶金工业</w:t>
            </w:r>
          </w:p>
        </w:tc>
        <w:tc>
          <w:tcPr>
            <w:tcW w:w="1842" w:type="dxa"/>
            <w:tcBorders>
              <w:top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4" w:type="dxa"/>
            <w:tcBorders>
              <w:top w:val="nil"/>
              <w:left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-7.4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936" w:type="dxa"/>
            <w:tcBorders>
              <w:top w:val="nil"/>
              <w:left w:val="nil"/>
            </w:tcBorders>
            <w:shd w:val="clear" w:color="auto" w:fill="auto"/>
            <w:vAlign w:val="bottom"/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化学工业</w:t>
            </w:r>
          </w:p>
        </w:tc>
        <w:tc>
          <w:tcPr>
            <w:tcW w:w="1842" w:type="dxa"/>
            <w:tcBorders>
              <w:right w:val="single" w:color="auto" w:sz="6" w:space="0"/>
            </w:tcBorders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4" w:type="dxa"/>
            <w:tcBorders>
              <w:top w:val="nil"/>
              <w:left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-23.0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936" w:type="dxa"/>
            <w:tcBorders>
              <w:top w:val="nil"/>
              <w:left w:val="nil"/>
            </w:tcBorders>
            <w:shd w:val="clear" w:color="auto" w:fill="auto"/>
            <w:vAlign w:val="bottom"/>
          </w:tcPr>
          <w:p>
            <w:pPr>
              <w:ind w:firstLine="1260" w:firstLineChars="60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装备制造业</w:t>
            </w:r>
          </w:p>
        </w:tc>
        <w:tc>
          <w:tcPr>
            <w:tcW w:w="1842" w:type="dxa"/>
            <w:tcBorders>
              <w:top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4" w:type="dxa"/>
            <w:tcBorders>
              <w:top w:val="nil"/>
              <w:left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936" w:type="dxa"/>
            <w:tcBorders>
              <w:top w:val="nil"/>
              <w:left w:val="nil"/>
            </w:tcBorders>
            <w:shd w:val="clear" w:color="auto" w:fill="auto"/>
            <w:vAlign w:val="bottom"/>
          </w:tcPr>
          <w:p>
            <w:pPr>
              <w:ind w:firstLine="1260" w:firstLineChars="60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医药工业</w:t>
            </w:r>
          </w:p>
        </w:tc>
        <w:tc>
          <w:tcPr>
            <w:tcW w:w="1842" w:type="dxa"/>
            <w:tcBorders>
              <w:top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4" w:type="dxa"/>
            <w:tcBorders>
              <w:top w:val="nil"/>
              <w:left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-33.8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>
            <w:pPr>
              <w:ind w:firstLine="1260" w:firstLineChars="60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食品工业</w:t>
            </w:r>
          </w:p>
        </w:tc>
        <w:tc>
          <w:tcPr>
            <w:tcW w:w="1842" w:type="dxa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4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>
            <w:pPr>
              <w:ind w:firstLine="1260" w:firstLineChars="60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非金属矿物制品业</w:t>
            </w:r>
          </w:p>
        </w:tc>
        <w:tc>
          <w:tcPr>
            <w:tcW w:w="1842" w:type="dxa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4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>
            <w:pPr>
              <w:ind w:firstLine="1260" w:firstLineChars="60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有色金属</w:t>
            </w:r>
          </w:p>
        </w:tc>
        <w:tc>
          <w:tcPr>
            <w:tcW w:w="1842" w:type="dxa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4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-19.2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>
            <w:pPr>
              <w:ind w:firstLine="1260" w:firstLineChars="60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燃气生产供应</w:t>
            </w:r>
          </w:p>
        </w:tc>
        <w:tc>
          <w:tcPr>
            <w:tcW w:w="1842" w:type="dxa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4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>
            <w:pPr>
              <w:ind w:firstLine="1260" w:firstLineChars="60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水生产供应</w:t>
            </w:r>
          </w:p>
        </w:tc>
        <w:tc>
          <w:tcPr>
            <w:tcW w:w="1842" w:type="dxa"/>
            <w:tcBorders>
              <w:top w:val="nil"/>
              <w:bottom w:val="nil"/>
              <w:right w:val="single" w:color="auto" w:sz="6" w:space="0"/>
            </w:tcBorders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4" w:type="dxa"/>
            <w:tcBorders>
              <w:top w:val="nil"/>
              <w:left w:val="single" w:color="auto" w:sz="6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3936" w:type="dxa"/>
            <w:tcBorders>
              <w:top w:val="nil"/>
              <w:left w:val="nil"/>
              <w:bottom w:val="single" w:color="auto" w:sz="12" w:space="0"/>
            </w:tcBorders>
            <w:shd w:val="clear" w:color="auto" w:fill="auto"/>
            <w:vAlign w:val="bottom"/>
          </w:tcPr>
          <w:p>
            <w:pPr>
              <w:ind w:firstLine="1260" w:firstLineChars="60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电气机械</w:t>
            </w:r>
          </w:p>
        </w:tc>
        <w:tc>
          <w:tcPr>
            <w:tcW w:w="1842" w:type="dxa"/>
            <w:tcBorders>
              <w:top w:val="nil"/>
              <w:bottom w:val="single" w:color="auto" w:sz="12" w:space="0"/>
              <w:right w:val="single" w:color="auto" w:sz="6" w:space="0"/>
            </w:tcBorders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:shd w:val="pct10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4" w:type="dxa"/>
            <w:tcBorders>
              <w:top w:val="nil"/>
              <w:left w:val="single" w:color="auto" w:sz="6" w:space="0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-15.8</w:t>
            </w:r>
          </w:p>
        </w:tc>
      </w:tr>
    </w:tbl>
    <w:p>
      <w:pPr>
        <w:spacing w:before="312" w:beforeLines="100"/>
        <w:jc w:val="center"/>
        <w:rPr>
          <w:rFonts w:ascii="仿宋" w:hAnsi="仿宋" w:eastAsia="仿宋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312" w:beforeLines="100"/>
        <w:jc w:val="center"/>
        <w:rPr>
          <w:rFonts w:ascii="仿宋" w:hAnsi="仿宋" w:eastAsia="仿宋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表4  </w:t>
      </w:r>
      <w:r>
        <w:rPr>
          <w:rFonts w:ascii="仿宋" w:hAnsi="仿宋" w:eastAsia="仿宋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8年规模以上工业主要工业产品产量及其增长速度</w:t>
      </w:r>
    </w:p>
    <w:p>
      <w:pPr>
        <w:spacing w:before="312" w:beforeLines="100"/>
        <w:jc w:val="center"/>
        <w:rPr>
          <w:rFonts w:ascii="仿宋" w:hAnsi="仿宋" w:eastAsia="仿宋" w:cs="Times New Roman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522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7"/>
        <w:gridCol w:w="2038"/>
        <w:gridCol w:w="2006"/>
        <w:gridCol w:w="155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92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203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  位</w:t>
            </w:r>
          </w:p>
        </w:tc>
        <w:tc>
          <w:tcPr>
            <w:tcW w:w="2006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产  量</w:t>
            </w:r>
          </w:p>
        </w:tc>
        <w:tc>
          <w:tcPr>
            <w:tcW w:w="1551" w:type="dxa"/>
            <w:tcBorders>
              <w:top w:val="single" w:color="auto" w:sz="12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比上年增长%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27" w:type="dxa"/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焦  炭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吨</w:t>
            </w:r>
          </w:p>
        </w:tc>
        <w:tc>
          <w:tcPr>
            <w:tcW w:w="2006" w:type="dxa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1678824</w:t>
            </w:r>
          </w:p>
        </w:tc>
        <w:tc>
          <w:tcPr>
            <w:tcW w:w="1551" w:type="dxa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27" w:type="dxa"/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日用玻璃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重量箱</w:t>
            </w:r>
          </w:p>
        </w:tc>
        <w:tc>
          <w:tcPr>
            <w:tcW w:w="2006" w:type="dxa"/>
            <w:noWrap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8546</w:t>
            </w:r>
          </w:p>
        </w:tc>
        <w:tc>
          <w:tcPr>
            <w:tcW w:w="1551" w:type="dxa"/>
            <w:noWrap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-28.1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27" w:type="dxa"/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火力发电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千瓦小时</w:t>
            </w:r>
          </w:p>
        </w:tc>
        <w:tc>
          <w:tcPr>
            <w:tcW w:w="2006" w:type="dxa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460127</w:t>
            </w:r>
          </w:p>
        </w:tc>
        <w:tc>
          <w:tcPr>
            <w:tcW w:w="1551" w:type="dxa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27" w:type="dxa"/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煤气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2006" w:type="dxa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13831</w:t>
            </w:r>
          </w:p>
        </w:tc>
        <w:tc>
          <w:tcPr>
            <w:tcW w:w="1551" w:type="dxa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33.0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27" w:type="dxa"/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粗苯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吨</w:t>
            </w:r>
          </w:p>
        </w:tc>
        <w:tc>
          <w:tcPr>
            <w:tcW w:w="2006" w:type="dxa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16518</w:t>
            </w:r>
          </w:p>
        </w:tc>
        <w:tc>
          <w:tcPr>
            <w:tcW w:w="1551" w:type="dxa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27" w:type="dxa"/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水泥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吨</w:t>
            </w:r>
          </w:p>
        </w:tc>
        <w:tc>
          <w:tcPr>
            <w:tcW w:w="2006" w:type="dxa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379024</w:t>
            </w:r>
          </w:p>
        </w:tc>
        <w:tc>
          <w:tcPr>
            <w:tcW w:w="1551" w:type="dxa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27" w:type="dxa"/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商品混凝土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立方米</w:t>
            </w:r>
          </w:p>
        </w:tc>
        <w:tc>
          <w:tcPr>
            <w:tcW w:w="2006" w:type="dxa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296634</w:t>
            </w:r>
          </w:p>
        </w:tc>
        <w:tc>
          <w:tcPr>
            <w:tcW w:w="1551" w:type="dxa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47.0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27" w:type="dxa"/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铁合金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吨</w:t>
            </w:r>
          </w:p>
        </w:tc>
        <w:tc>
          <w:tcPr>
            <w:tcW w:w="2006" w:type="dxa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44391</w:t>
            </w:r>
          </w:p>
        </w:tc>
        <w:tc>
          <w:tcPr>
            <w:tcW w:w="1551" w:type="dxa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27" w:type="dxa"/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工业锅炉蒸发量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吨</w:t>
            </w:r>
          </w:p>
        </w:tc>
        <w:tc>
          <w:tcPr>
            <w:tcW w:w="2006" w:type="dxa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1724</w:t>
            </w:r>
          </w:p>
        </w:tc>
        <w:tc>
          <w:tcPr>
            <w:tcW w:w="1551" w:type="dxa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55.5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27" w:type="dxa"/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输送机械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吨</w:t>
            </w:r>
          </w:p>
        </w:tc>
        <w:tc>
          <w:tcPr>
            <w:tcW w:w="2006" w:type="dxa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2321</w:t>
            </w:r>
          </w:p>
        </w:tc>
        <w:tc>
          <w:tcPr>
            <w:tcW w:w="1551" w:type="dxa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-75.0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27" w:type="dxa"/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液压元件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2006" w:type="dxa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3460</w:t>
            </w:r>
          </w:p>
        </w:tc>
        <w:tc>
          <w:tcPr>
            <w:tcW w:w="1551" w:type="dxa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-2.5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27" w:type="dxa"/>
          </w:tcPr>
          <w:p>
            <w:pP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矿山专用设备</w:t>
            </w:r>
          </w:p>
        </w:tc>
        <w:tc>
          <w:tcPr>
            <w:tcW w:w="2038" w:type="dxa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吨</w:t>
            </w:r>
          </w:p>
        </w:tc>
        <w:tc>
          <w:tcPr>
            <w:tcW w:w="2006" w:type="dxa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17681</w:t>
            </w:r>
          </w:p>
        </w:tc>
        <w:tc>
          <w:tcPr>
            <w:tcW w:w="1551" w:type="dxa"/>
            <w:noWrap/>
            <w:vAlign w:val="center"/>
          </w:tcPr>
          <w:p>
            <w:pPr>
              <w:ind w:right="315" w:rightChars="150"/>
              <w:jc w:val="right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24.8</w:t>
            </w:r>
          </w:p>
        </w:tc>
      </w:tr>
    </w:tbl>
    <w:p>
      <w:pPr>
        <w:spacing w:line="62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  <w:shd w:val="pct10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区规模以上工业企业实现主营业务收入74.0亿元，增长10.4%。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全年全区规模以上工业利润总额6.0亿元，增长500%。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全年全区建筑业实现增加值17.7亿元，增长10.2%；实现总产值39.4亿元，增长24.1%。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1"/>
        </w:numPr>
        <w:spacing w:line="620" w:lineRule="exact"/>
        <w:jc w:val="center"/>
        <w:rPr>
          <w:rFonts w:ascii="仿宋" w:hAnsi="仿宋" w:eastAsia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能  源</w:t>
      </w:r>
    </w:p>
    <w:p>
      <w:pPr>
        <w:pStyle w:val="9"/>
        <w:spacing w:line="6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全年全区一次能源生产折标准煤10.34万吨，增长27.0%。</w:t>
      </w:r>
    </w:p>
    <w:p>
      <w:pPr>
        <w:pStyle w:val="9"/>
        <w:spacing w:line="6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全年全区二次能源生产折标准煤450.94万吨，增长11.6%。</w:t>
      </w:r>
    </w:p>
    <w:p>
      <w:pPr>
        <w:pStyle w:val="9"/>
        <w:spacing w:line="62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全区全社会用电总量20.13亿千瓦小时。其中，第一产业用电0.60亿千瓦小时，占全社会用电量的比重3.0%；第二产业用电11.68亿千瓦小时，占全社会用电量的比重58.0%，其中工业用电11.33亿千瓦小时；第三产业用电4.60亿千瓦小时，占全社会用电量的比重22.9%，城乡居民生活用电3.24亿千瓦小时，占全社会用电量的比重16.1%。</w:t>
      </w:r>
    </w:p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　　 </w:t>
      </w:r>
    </w:p>
    <w:p>
      <w:pPr>
        <w:widowControl/>
        <w:jc w:val="center"/>
        <w:rPr>
          <w:rFonts w:ascii="仿宋" w:hAnsi="仿宋" w:eastAsia="仿宋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五、固定资产投资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全年全区固定资产投资完成49.2亿元，增长9.5%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。 </w:t>
      </w:r>
    </w:p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　　</w:t>
      </w:r>
    </w:p>
    <w:p>
      <w:pPr>
        <w:widowControl/>
        <w:jc w:val="center"/>
        <w:rPr>
          <w:rFonts w:ascii="仿宋" w:hAnsi="仿宋" w:eastAsia="仿宋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六、贸  易</w:t>
      </w:r>
    </w:p>
    <w:p>
      <w:pPr>
        <w:widowControl/>
        <w:ind w:firstLine="645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全年全区社会消费品零售总额117.9亿元，增长7.9%。按经营地统计，城镇消费品零售额88.0亿元，增长7.9%；乡村消费品零售额29.9亿元，增长8.0%。按消费形态统计，商品零售额108.0亿元，增长6.7%；餐饮收入额9.9亿元，增长22.8%。 </w:t>
      </w:r>
    </w:p>
    <w:p>
      <w:pPr>
        <w:widowControl/>
        <w:ind w:firstLine="645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156" w:beforeLines="50"/>
        <w:jc w:val="center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黑体" w:hAnsi="黑体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表5 </w:t>
      </w:r>
      <w:r>
        <w:rPr>
          <w:rFonts w:ascii="黑体" w:hAnsi="黑体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黑体" w:hAnsi="黑体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8年社会消费品零售总额及其增长速度</w:t>
      </w:r>
    </w:p>
    <w:p>
      <w:pPr>
        <w:jc w:val="right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单位：亿元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8"/>
        <w:gridCol w:w="2219"/>
        <w:gridCol w:w="2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426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指  标</w:t>
            </w:r>
          </w:p>
        </w:tc>
        <w:tc>
          <w:tcPr>
            <w:tcW w:w="221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绝对数</w:t>
            </w:r>
          </w:p>
        </w:tc>
        <w:tc>
          <w:tcPr>
            <w:tcW w:w="203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比上年增长%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社会消费品零售总额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117.9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分地域：城  镇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88.0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其中：城  区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84.3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乡  村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432"/>
              </w:tabs>
              <w:ind w:right="315" w:rightChars="150" w:firstLine="651" w:firstLineChars="31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29.9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6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i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315" w:rightChars="150" w:firstLine="686" w:firstLineChars="327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全年全区限额以上单位消费品零售额55.3亿元，增长2.2%。 </w:t>
      </w:r>
    </w:p>
    <w:p>
      <w:pPr>
        <w:spacing w:before="156" w:beforeLines="50"/>
        <w:jc w:val="center"/>
        <w:rPr>
          <w:rFonts w:ascii="黑体" w:hAnsi="黑体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表6  </w:t>
      </w:r>
      <w:r>
        <w:rPr>
          <w:rFonts w:ascii="黑体" w:hAnsi="黑体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2017</w:t>
      </w:r>
      <w:r>
        <w:rPr>
          <w:rFonts w:hint="eastAsia" w:ascii="黑体" w:hAnsi="黑体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年限额以上单位商品零售额及其增长速度                                                                                                                           </w:t>
      </w:r>
      <w:r>
        <w:rPr>
          <w:rFonts w:ascii="黑体" w:hAnsi="黑体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</w:t>
      </w:r>
    </w:p>
    <w:p>
      <w:pPr>
        <w:jc w:val="right"/>
        <w:rPr>
          <w:rFonts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单位：万元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3"/>
        <w:gridCol w:w="2434"/>
        <w:gridCol w:w="18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0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指  标</w:t>
            </w:r>
          </w:p>
        </w:tc>
        <w:tc>
          <w:tcPr>
            <w:tcW w:w="243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绝对数</w:t>
            </w:r>
          </w:p>
        </w:tc>
        <w:tc>
          <w:tcPr>
            <w:tcW w:w="188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比上年增长%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2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汽车类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139093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-15.9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20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石油及制品类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242208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20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金银珠宝类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315" w:rightChars="150" w:firstLine="781" w:firstLineChars="372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-1.4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20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家用电器和音像器材类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315" w:rightChars="150" w:firstLine="791" w:firstLineChars="377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6096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20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通讯器材类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8371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20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粮油、食品类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30587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20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饮料类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1462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-18.8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20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烟酒类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11116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20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服装、鞋帽、针纺织品类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12430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-9.1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203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化妆品类</w:t>
            </w:r>
          </w:p>
        </w:tc>
        <w:tc>
          <w:tcPr>
            <w:tcW w:w="2434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1771</w:t>
            </w:r>
          </w:p>
        </w:tc>
        <w:tc>
          <w:tcPr>
            <w:tcW w:w="1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20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体育、娱乐用品类</w:t>
            </w:r>
          </w:p>
        </w:tc>
        <w:tc>
          <w:tcPr>
            <w:tcW w:w="2434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13.6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ind w:right="315" w:rightChars="150"/>
              <w:jc w:val="right"/>
              <w:rPr>
                <w:rFonts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-0.7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jc w:val="center"/>
        <w:rPr>
          <w:rFonts w:ascii="仿宋" w:hAnsi="仿宋" w:eastAsia="仿宋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七、交通、邮电和旅游</w:t>
      </w:r>
    </w:p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　　年末全区公路线路里程1932.5公里，其中高速公路131公里。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jc w:val="center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　　  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全年全区完成邮政业务总量10596.1万元，增长48.3%；</w:t>
      </w: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全年全区共接待国内外游客938.6万人次，其中接待国内旅游者937.2万人次，国外游客1.1万人次；旅游总收入87.4亿元，增长24.2%。 </w:t>
      </w:r>
    </w:p>
    <w:p>
      <w:pPr>
        <w:pStyle w:val="8"/>
        <w:spacing w:before="156" w:beforeLines="50" w:after="156" w:afterLines="50"/>
        <w:jc w:val="center"/>
        <w:rPr>
          <w:rFonts w:ascii="仿宋" w:hAnsi="仿宋" w:eastAsia="仿宋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八、金  融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年末全区金融机构人民币各项存款余额612.8亿元，比年初增加59.0亿元，比年初增长10.6%。各项贷款余额381.1亿元，比年初增加67.8亿元，增长21.6%。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年末全区农村金融合作机构（农村信用社、农村合作银行、农村商业银行）人民币存款余额104.9亿元，比年初增加10.2亿元，比年初增长10.7%；人民币贷款余额79.0亿元，比年初增加15.2亿元，增长23.9% 。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全区保费收入22.6亿元，下降15.8%。其中，寿险业务保费收入14.1亿元，下降32.0%；健康险业务保费收入3.4亿元，增长164.6%；意外险业务保费收入0.4亿元，增长32.3%；财产险业务保费收入4.8亿元，增长4.1%。全年支付各类赔款及给付7.5亿元，下降23.3%。</w:t>
      </w:r>
    </w:p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仿宋" w:hAnsi="仿宋" w:eastAsia="仿宋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九、教育和科学技术</w:t>
      </w:r>
    </w:p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　　</w:t>
      </w:r>
    </w:p>
    <w:p>
      <w:pPr>
        <w:spacing w:line="62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年末全区共有幼儿园89所，小学110所，普通初中17所，普通高中3所，中等职业教育学校8所。全区学前教育毛入园率95%，小学学龄儿童净入学率100%，高中阶段毛入学率94.2％。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12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196"/>
        <w:gridCol w:w="1275"/>
        <w:gridCol w:w="1134"/>
        <w:gridCol w:w="1134"/>
        <w:gridCol w:w="1134"/>
        <w:gridCol w:w="104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22" w:type="dxa"/>
            <w:gridSpan w:val="7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spacing w:before="156" w:beforeLines="50"/>
              <w:jc w:val="center"/>
              <w:rPr>
                <w:rFonts w:ascii="黑体" w:hAnsi="黑体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表7</w:t>
            </w:r>
            <w:r>
              <w:rPr>
                <w:rFonts w:ascii="黑体" w:hAnsi="黑体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201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8年各类教育发展情况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2" w:type="dxa"/>
            <w:gridSpan w:val="7"/>
            <w:tcBorders>
              <w:top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4"/>
                <w14:textFill>
                  <w14:solidFill>
                    <w14:schemeClr w14:val="tx1"/>
                  </w14:solidFill>
                </w14:textFill>
              </w:rPr>
              <w:t>单位：人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06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57" w:right="57"/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指  标</w:t>
            </w:r>
          </w:p>
        </w:tc>
        <w:tc>
          <w:tcPr>
            <w:tcW w:w="1196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57" w:right="57"/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  生</w:t>
            </w:r>
          </w:p>
        </w:tc>
        <w:tc>
          <w:tcPr>
            <w:tcW w:w="1275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57" w:right="57"/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比上年</w:t>
            </w:r>
          </w:p>
          <w:p>
            <w:pPr>
              <w:spacing w:line="240" w:lineRule="exact"/>
              <w:ind w:left="57" w:right="57"/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增长</w:t>
            </w:r>
            <w: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57" w:right="57"/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在校生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57" w:right="57"/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比上年</w:t>
            </w:r>
          </w:p>
          <w:p>
            <w:pPr>
              <w:spacing w:line="240" w:lineRule="exact"/>
              <w:ind w:left="57" w:right="57"/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增长</w:t>
            </w:r>
            <w: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57" w:right="57"/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毕业生</w:t>
            </w:r>
          </w:p>
        </w:tc>
        <w:tc>
          <w:tcPr>
            <w:tcW w:w="1043" w:type="dxa"/>
            <w:tcBorders>
              <w:top w:val="single" w:color="auto" w:sz="12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57" w:right="57"/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比上年</w:t>
            </w:r>
          </w:p>
          <w:p>
            <w:pPr>
              <w:spacing w:line="240" w:lineRule="exact"/>
              <w:ind w:left="57" w:right="57"/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增长</w:t>
            </w:r>
            <w: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06" w:type="dxa"/>
            <w:tcBorders>
              <w:top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spacing w:line="240" w:lineRule="exact"/>
              <w:ind w:left="57" w:right="57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196" w:type="dxa"/>
            <w:tcBorders>
              <w:top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tcBorders>
              <w:top w:val="single" w:color="auto" w:sz="6" w:space="0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exact"/>
              <w:ind w:left="57" w:right="57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普通本专科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exact"/>
              <w:ind w:left="57" w:right="57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成人本专科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exact"/>
              <w:ind w:left="57" w:right="57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中等职业教育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4272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1350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exact"/>
              <w:ind w:left="57" w:right="57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普通高中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3641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1020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exact"/>
              <w:ind w:left="57" w:right="57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2586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8784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2430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exact"/>
              <w:ind w:left="57" w:right="57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2661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18098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2600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240" w:lineRule="exact"/>
              <w:ind w:left="57" w:right="57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特殊教育</w:t>
            </w:r>
          </w:p>
        </w:tc>
        <w:tc>
          <w:tcPr>
            <w:tcW w:w="11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466.0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84.0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12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606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left="57" w:right="57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学前教育</w:t>
            </w:r>
          </w:p>
        </w:tc>
        <w:tc>
          <w:tcPr>
            <w:tcW w:w="1196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3600</w:t>
            </w:r>
          </w:p>
        </w:tc>
        <w:tc>
          <w:tcPr>
            <w:tcW w:w="1275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2.0</w:t>
            </w:r>
          </w:p>
        </w:tc>
        <w:tc>
          <w:tcPr>
            <w:tcW w:w="1134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10574</w:t>
            </w:r>
          </w:p>
        </w:tc>
        <w:tc>
          <w:tcPr>
            <w:tcW w:w="1134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1134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3200</w:t>
            </w:r>
          </w:p>
        </w:tc>
        <w:tc>
          <w:tcPr>
            <w:tcW w:w="1043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tabs>
                <w:tab w:val="decimal" w:pos="320"/>
              </w:tabs>
              <w:jc w:val="center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</w:tr>
    </w:tbl>
    <w:p>
      <w:pPr>
        <w:widowControl/>
        <w:jc w:val="center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　　　</w:t>
      </w:r>
    </w:p>
    <w:p>
      <w:pPr>
        <w:widowControl/>
        <w:jc w:val="center"/>
        <w:rPr>
          <w:rFonts w:ascii="仿宋" w:hAnsi="仿宋" w:eastAsia="仿宋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十、文化、卫生和体育</w:t>
      </w:r>
    </w:p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　　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年末全省共有文化馆2个, 文化站20个。</w:t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2018年末全区共有卫生机构(含诊所、村卫生室)582个。专业公共卫生机构4个，妇幼保健院（所、站）1个。全区卫生机构共有卫生技术人员2320人。卫生院卫生技术人员440人，其中，农村乡镇卫生院卫生技术人员254人。社区卫生服务中心（站）卫生技术人员32人，专业公共卫生机构技术人员121人，妇幼保健（所、站）卫生技术人员33人。</w:t>
      </w:r>
    </w:p>
    <w:p>
      <w:pPr>
        <w:widowControl/>
        <w:ind w:firstLine="480"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jc w:val="center"/>
        <w:rPr>
          <w:rFonts w:ascii="仿宋" w:hAnsi="仿宋" w:eastAsia="仿宋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十一、人民生活和社会保障</w:t>
      </w:r>
    </w:p>
    <w:p>
      <w:pPr>
        <w:pStyle w:val="8"/>
        <w:spacing w:line="62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</w:t>
      </w:r>
      <w:r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</w:t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城镇居民人均可支配收入30189元，增长6.1%，城镇居民人均消费支出15792元，增长8.6%；农村居民人均可支配收入10543元，增长9.3%，农村居民人均消费支出8406元，增长9.7%。按居民五等份收入分组，城镇低收入组人均可支配收入11253元，增长8.2%；农村低收入组人均可支配收入4065元，增长13.4%。</w:t>
      </w:r>
    </w:p>
    <w:p>
      <w:pPr>
        <w:spacing w:before="156" w:beforeLines="50"/>
        <w:jc w:val="center"/>
        <w:rPr>
          <w:rFonts w:hint="eastAsia" w:ascii="黑体" w:hAnsi="黑体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before="156" w:beforeLines="50"/>
        <w:jc w:val="center"/>
        <w:rPr>
          <w:rFonts w:hint="eastAsia" w:ascii="黑体" w:hAnsi="黑体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表8</w:t>
      </w:r>
      <w:r>
        <w:rPr>
          <w:rFonts w:ascii="黑体" w:hAnsi="黑体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201</w:t>
      </w:r>
      <w:r>
        <w:rPr>
          <w:rFonts w:hint="eastAsia" w:ascii="黑体" w:hAnsi="黑体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8年城乡居民人均可支配收入</w:t>
      </w:r>
    </w:p>
    <w:p>
      <w:pPr>
        <w:jc w:val="right"/>
        <w:rPr>
          <w:rFonts w:hint="eastAsia" w:ascii="仿宋" w:hAnsi="仿宋" w:eastAsia="仿宋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单位：元</w:t>
      </w:r>
    </w:p>
    <w:tbl>
      <w:tblPr>
        <w:tblStyle w:val="5"/>
        <w:tblW w:w="846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8"/>
        <w:gridCol w:w="2296"/>
        <w:gridCol w:w="229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386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57" w:right="57"/>
              <w:jc w:val="center"/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指  标</w:t>
            </w:r>
          </w:p>
        </w:tc>
        <w:tc>
          <w:tcPr>
            <w:tcW w:w="22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57" w:right="57"/>
              <w:jc w:val="center"/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8年</w:t>
            </w:r>
          </w:p>
        </w:tc>
        <w:tc>
          <w:tcPr>
            <w:tcW w:w="229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ind w:left="57" w:right="57"/>
              <w:jc w:val="center"/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比上年增长%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8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57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城镇居民人均</w:t>
            </w:r>
            <w: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可支配收入</w:t>
            </w:r>
          </w:p>
          <w:p>
            <w:pPr>
              <w:spacing w:line="240" w:lineRule="exact"/>
              <w:ind w:right="57"/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30189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8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57" w:firstLine="420" w:firstLineChars="20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其中：工资性收入</w:t>
            </w:r>
          </w:p>
          <w:p>
            <w:pPr>
              <w:spacing w:line="240" w:lineRule="exact"/>
              <w:ind w:right="57" w:firstLine="420" w:firstLineChars="200"/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17485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8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57" w:firstLine="1050" w:firstLineChars="50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经营净收入</w:t>
            </w:r>
          </w:p>
          <w:p>
            <w:pPr>
              <w:spacing w:line="240" w:lineRule="exact"/>
              <w:ind w:right="57" w:firstLine="1050" w:firstLineChars="500"/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right="57" w:firstLine="1050" w:firstLineChars="500"/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1822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8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57" w:firstLine="1050" w:firstLineChars="500"/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财产净收入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2614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8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57" w:firstLine="1050" w:firstLineChars="500"/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转移</w:t>
            </w:r>
            <w: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净收入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8268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8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57"/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农村居民人均可支配收入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10543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8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57" w:firstLine="420" w:firstLineChars="200"/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其中</w:t>
            </w:r>
            <w: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：工资性收入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6076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8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57" w:firstLine="1050" w:firstLineChars="500"/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经营净收入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3492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8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57" w:firstLine="1050" w:firstLineChars="500"/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财产净收入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19.3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3868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right="57" w:firstLine="420" w:firstLineChars="200"/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转移</w:t>
            </w:r>
            <w:r>
              <w:rPr>
                <w:rFonts w:ascii="仿宋" w:hAnsi="仿宋" w:eastAsia="仿宋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净收入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782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40" w:lineRule="exact"/>
              <w:ind w:left="57" w:right="680"/>
              <w:jc w:val="right"/>
              <w:rPr>
                <w:rFonts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32.1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年末全区参加城乡居民基本养老保险248561人，参加企业职工基本养老保险47083人，参加机关事业单位基本养老保险8017人，参加城乡基本医疗保险380141人，参加失业保险16940人，参加工伤保险19778人，参加生育保险13414人。 </w:t>
      </w:r>
    </w:p>
    <w:p>
      <w:pPr>
        <w:pStyle w:val="8"/>
        <w:spacing w:line="62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得到城市最低生活保障救济人数6603人，全年共发放城市最低保障资金3161.2万元；全年得到农村最低生活保障救济人数20222人，全年共发放农村最低保障资金6182.8万元；2397人纳入农村五保供养，发放资金1346.9万元。</w:t>
      </w:r>
    </w:p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jc w:val="center"/>
        <w:rPr>
          <w:rFonts w:ascii="仿宋" w:hAnsi="仿宋" w:eastAsia="仿宋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十二、资源、环境和安全生产</w:t>
      </w:r>
    </w:p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　　</w:t>
      </w:r>
    </w:p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年末全区森林面积37477公顷，森林覆盖率18.8%。 </w:t>
      </w:r>
    </w:p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按《环境空气质量指数（AQI）技术规定（试行）（HJ633-2012）》评价，年末全区空气质量优良天数为226天，达标率61.9%。 </w:t>
      </w:r>
    </w:p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　　 </w:t>
      </w:r>
    </w:p>
    <w:p>
      <w:pPr>
        <w:widowControl/>
        <w:jc w:val="left"/>
        <w:rPr>
          <w:rFonts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　　 </w:t>
      </w:r>
    </w:p>
    <w:p>
      <w:pPr>
        <w:pStyle w:val="8"/>
        <w:spacing w:line="620" w:lineRule="exact"/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注释：</w:t>
      </w:r>
    </w:p>
    <w:p>
      <w:pPr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1.本公报部分数据为初步统计数据。 </w:t>
      </w:r>
    </w:p>
    <w:p>
      <w:pPr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2.本公报部分数据由相关部门提供。 </w:t>
      </w:r>
    </w:p>
    <w:p>
      <w:pPr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3.地区生产总值、各产业增加值绝对数按现价计算，增长速度按不变价格计算。 </w:t>
      </w:r>
    </w:p>
    <w:p>
      <w:pPr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4.除注明外，所有增长或下降速度均为同上年相比较。 </w:t>
      </w:r>
    </w:p>
    <w:p>
      <w:pPr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5.部分数据因四舍五入的原因，存在与分项合计不等的情况。</w:t>
      </w:r>
    </w:p>
    <w:p>
      <w:pPr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6.财政部门数据不包含开发区。</w:t>
      </w:r>
    </w:p>
    <w:p>
      <w:pPr>
        <w:ind w:firstLine="560" w:firstLineChars="200"/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7.投资数据不包含开发区。</w:t>
      </w:r>
    </w:p>
    <w:p>
      <w:pPr>
        <w:widowControl/>
        <w:jc w:val="left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989387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63B0"/>
    <w:multiLevelType w:val="multilevel"/>
    <w:tmpl w:val="494763B0"/>
    <w:lvl w:ilvl="0" w:tentative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26"/>
    <w:rsid w:val="0001377A"/>
    <w:rsid w:val="0006737B"/>
    <w:rsid w:val="000B0007"/>
    <w:rsid w:val="001852D6"/>
    <w:rsid w:val="00191720"/>
    <w:rsid w:val="001E3DE8"/>
    <w:rsid w:val="00270E68"/>
    <w:rsid w:val="002722C0"/>
    <w:rsid w:val="00276919"/>
    <w:rsid w:val="002D6891"/>
    <w:rsid w:val="00311C27"/>
    <w:rsid w:val="00315207"/>
    <w:rsid w:val="00393023"/>
    <w:rsid w:val="003E7E07"/>
    <w:rsid w:val="003F3A0F"/>
    <w:rsid w:val="00422D62"/>
    <w:rsid w:val="00434285"/>
    <w:rsid w:val="00444A53"/>
    <w:rsid w:val="0047035A"/>
    <w:rsid w:val="0048051A"/>
    <w:rsid w:val="00495FAE"/>
    <w:rsid w:val="004B21BA"/>
    <w:rsid w:val="004B5EB0"/>
    <w:rsid w:val="004C1E20"/>
    <w:rsid w:val="004C424D"/>
    <w:rsid w:val="004D4EC1"/>
    <w:rsid w:val="004E06FE"/>
    <w:rsid w:val="004F4BC7"/>
    <w:rsid w:val="005833FD"/>
    <w:rsid w:val="00596EEB"/>
    <w:rsid w:val="0060793D"/>
    <w:rsid w:val="00634533"/>
    <w:rsid w:val="0067437A"/>
    <w:rsid w:val="006B2EF1"/>
    <w:rsid w:val="006C6026"/>
    <w:rsid w:val="006D48C1"/>
    <w:rsid w:val="006D4997"/>
    <w:rsid w:val="007469F7"/>
    <w:rsid w:val="00752C1B"/>
    <w:rsid w:val="0079504C"/>
    <w:rsid w:val="007C0172"/>
    <w:rsid w:val="007C7B65"/>
    <w:rsid w:val="007D4ADF"/>
    <w:rsid w:val="007F107C"/>
    <w:rsid w:val="008047F5"/>
    <w:rsid w:val="008108AC"/>
    <w:rsid w:val="00837BA1"/>
    <w:rsid w:val="008A2D5F"/>
    <w:rsid w:val="008C7CF7"/>
    <w:rsid w:val="008F5648"/>
    <w:rsid w:val="00920C67"/>
    <w:rsid w:val="00924B96"/>
    <w:rsid w:val="009646C9"/>
    <w:rsid w:val="00982BD0"/>
    <w:rsid w:val="009B703A"/>
    <w:rsid w:val="009C3FDA"/>
    <w:rsid w:val="00A31290"/>
    <w:rsid w:val="00A63D5A"/>
    <w:rsid w:val="00A86984"/>
    <w:rsid w:val="00AB468D"/>
    <w:rsid w:val="00AB6ADB"/>
    <w:rsid w:val="00AE6E9A"/>
    <w:rsid w:val="00B406EA"/>
    <w:rsid w:val="00B90477"/>
    <w:rsid w:val="00BB6593"/>
    <w:rsid w:val="00C268B9"/>
    <w:rsid w:val="00C60A26"/>
    <w:rsid w:val="00C8164B"/>
    <w:rsid w:val="00CA2C46"/>
    <w:rsid w:val="00D43E86"/>
    <w:rsid w:val="00D5115E"/>
    <w:rsid w:val="00D564CC"/>
    <w:rsid w:val="00D826C9"/>
    <w:rsid w:val="00E436C9"/>
    <w:rsid w:val="00E80BA3"/>
    <w:rsid w:val="00EC6F77"/>
    <w:rsid w:val="00EE5EA8"/>
    <w:rsid w:val="00EF0A17"/>
    <w:rsid w:val="00F963AF"/>
    <w:rsid w:val="00FB0070"/>
    <w:rsid w:val="6E51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_Style 0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320" b="0" i="0" u="none" strike="noStrike" kern="1200" baseline="0">
                <a:solidFill>
                  <a:schemeClr val="tx1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r>
              <a:rPr lang="zh-CN"/>
              <a:t>图一 </a:t>
            </a:r>
            <a:r>
              <a:rPr lang="en-US"/>
              <a:t>2014-2018</a:t>
            </a:r>
            <a:r>
              <a:rPr lang="zh-CN"/>
              <a:t>年全区地区生产总值及其增长速度</a:t>
            </a:r>
            <a:endParaRPr lang="zh-CN"/>
          </a:p>
        </c:rich>
      </c:tx>
      <c:layout>
        <c:manualLayout>
          <c:xMode val="edge"/>
          <c:yMode val="edge"/>
          <c:x val="0.200000164041995"/>
          <c:y val="0.0308056872037915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5000095367504"/>
          <c:y val="0.154028436018957"/>
          <c:w val="0.773438090086433"/>
          <c:h val="0.73696682464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Sheet1!$C$14</c:f>
              <c:strCache>
                <c:ptCount val="1"/>
                <c:pt idx="0">
                  <c:v>地区生产总值</c:v>
                </c:pt>
              </c:strCache>
            </c:strRef>
          </c:tx>
          <c:spPr>
            <a:noFill/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0.0_ " sourceLinked="0"/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Sheet1!$D$13:$H$13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Sheet1!$D$14:$H$14</c:f>
              <c:numCache>
                <c:formatCode>General</c:formatCode>
                <c:ptCount val="5"/>
                <c:pt idx="0">
                  <c:v>111.2</c:v>
                </c:pt>
                <c:pt idx="1">
                  <c:v>114.1</c:v>
                </c:pt>
                <c:pt idx="2">
                  <c:v>120.1</c:v>
                </c:pt>
                <c:pt idx="3">
                  <c:v>138.3</c:v>
                </c:pt>
                <c:pt idx="4">
                  <c:v>166.9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745856"/>
        <c:axId val="152747392"/>
      </c:barChart>
      <c:lineChart>
        <c:grouping val="standard"/>
        <c:varyColors val="0"/>
        <c:ser>
          <c:idx val="1"/>
          <c:order val="1"/>
          <c:tx>
            <c:strRef>
              <c:f>Sheet1!$C$15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12700" cap="rnd" cmpd="sng" algn="ctr">
              <a:solidFill>
                <a:srgbClr val="000080"/>
              </a:solidFill>
              <a:prstDash val="solid"/>
              <a:round/>
            </a:ln>
          </c:spPr>
          <c:marker>
            <c:symbol val="diamond"/>
            <c:size val="5"/>
            <c:spPr>
              <a:solidFill>
                <a:srgbClr val="003366"/>
              </a:solidFill>
              <a:ln w="9525" cap="flat" cmpd="sng" algn="ctr">
                <a:solidFill>
                  <a:srgbClr val="003366"/>
                </a:solidFill>
                <a:prstDash val="solid"/>
                <a:round/>
              </a:ln>
            </c:spPr>
          </c:marker>
          <c:dLbls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 algn="r">
                  <a:defRPr lang="zh-CN" sz="1100" b="0" i="0" u="none" strike="noStrike" kern="1200" baseline="0">
                    <a:solidFill>
                      <a:schemeClr val="tx1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Sheet1!$D$13:$H$13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Sheet1!$D$15:$H$15</c:f>
              <c:numCache>
                <c:formatCode>General</c:formatCode>
                <c:ptCount val="5"/>
                <c:pt idx="0">
                  <c:v>5.3</c:v>
                </c:pt>
                <c:pt idx="1">
                  <c:v>3.8</c:v>
                </c:pt>
                <c:pt idx="2">
                  <c:v>3.9</c:v>
                </c:pt>
                <c:pt idx="3">
                  <c:v>6.6</c:v>
                </c:pt>
                <c:pt idx="4">
                  <c:v>5.9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749568"/>
        <c:axId val="152751104"/>
      </c:lineChart>
      <c:catAx>
        <c:axId val="152745856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52747392"/>
        <c:crosses val="autoZero"/>
        <c:auto val="1"/>
        <c:lblAlgn val="ctr"/>
        <c:lblOffset val="100"/>
        <c:tickLblSkip val="1"/>
        <c:noMultiLvlLbl val="0"/>
      </c:catAx>
      <c:valAx>
        <c:axId val="152747392"/>
        <c:scaling>
          <c:orientation val="minMax"/>
          <c:max val="250"/>
        </c:scaling>
        <c:delete val="0"/>
        <c:axPos val="l"/>
        <c:title>
          <c:tx>
            <c:rich>
              <a:bodyPr rot="0" spcFirstLastPara="0" vertOverflow="ellipsis" vert="horz" wrap="square" anchor="ctr" anchorCtr="1"/>
              <a:lstStyle/>
              <a:p>
                <a:pPr algn="ctr">
                  <a:defRPr lang="zh-CN" sz="1100" b="0" i="0" u="none" strike="noStrike" kern="1200" baseline="0">
                    <a:solidFill>
                      <a:schemeClr val="tx1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r>
                  <a:rPr lang="zh-CN"/>
                  <a:t>亿元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0.0625"/>
              <c:y val="0.073459715639810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52745856"/>
        <c:crosses val="autoZero"/>
        <c:crossBetween val="between"/>
        <c:majorUnit val="50"/>
      </c:valAx>
      <c:catAx>
        <c:axId val="152749568"/>
        <c:scaling>
          <c:orientation val="minMax"/>
        </c:scaling>
        <c:delete val="1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52751104"/>
        <c:crosses val="autoZero"/>
        <c:auto val="1"/>
        <c:lblAlgn val="ctr"/>
        <c:lblOffset val="100"/>
        <c:noMultiLvlLbl val="0"/>
      </c:catAx>
      <c:valAx>
        <c:axId val="152751104"/>
        <c:scaling>
          <c:orientation val="minMax"/>
          <c:max val="10"/>
        </c:scaling>
        <c:delete val="0"/>
        <c:axPos val="r"/>
        <c:title>
          <c:tx>
            <c:rich>
              <a:bodyPr rot="0" spcFirstLastPara="0" vertOverflow="ellipsis" vert="horz" wrap="square" anchor="ctr" anchorCtr="1"/>
              <a:lstStyle/>
              <a:p>
                <a:pPr algn="ctr">
                  <a:defRPr lang="zh-CN" sz="1100" b="0" i="0" u="none" strike="noStrike" kern="1200" baseline="0">
                    <a:solidFill>
                      <a:schemeClr val="tx1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r>
                  <a:rPr lang="en-US"/>
                  <a:t>%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917188156167979"/>
              <c:y val="0.090047393364928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52749568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97395997375328"/>
          <c:y val="0.105603435000116"/>
          <c:w val="0.474299766225345"/>
          <c:h val="0.113420512701399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 rot="0" spcFirstLastPara="0" vertOverflow="ellipsis" vert="horz" wrap="square" anchor="ctr" anchorCtr="1"/>
        <a:lstStyle/>
        <a:p>
          <a:pPr>
            <a:defRPr lang="zh-CN" sz="1100" b="0" i="0" u="none" strike="noStrike" kern="1200" baseline="0">
              <a:solidFill>
                <a:schemeClr val="tx1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noFill/>
      <a:prstDash val="solid"/>
      <a:round/>
    </a:ln>
  </c:spPr>
  <c:txPr>
    <a:bodyPr/>
    <a:lstStyle/>
    <a:p>
      <a:pPr>
        <a:defRPr lang="zh-CN" sz="1100" b="0" i="0" u="none" strike="noStrike" baseline="0">
          <a:solidFill>
            <a:schemeClr val="tx1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320" b="0" i="0" u="none" strike="noStrike" kern="1200" baseline="0">
                <a:solidFill>
                  <a:schemeClr val="tx1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  <a:r>
              <a:rPr lang="zh-CN"/>
              <a:t>图二 </a:t>
            </a:r>
            <a:r>
              <a:rPr lang="en-US"/>
              <a:t>2014-2018</a:t>
            </a:r>
            <a:r>
              <a:rPr lang="zh-CN"/>
              <a:t>年全区一般公共预算收入及其增长速度</a:t>
            </a:r>
            <a:endParaRPr lang="zh-CN"/>
          </a:p>
        </c:rich>
      </c:tx>
      <c:layout>
        <c:manualLayout>
          <c:xMode val="edge"/>
          <c:yMode val="edge"/>
          <c:x val="0.134615384615385"/>
          <c:y val="0.0307328605200946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646853146853147"/>
          <c:y val="0.243499380123791"/>
          <c:w val="0.844405594405594"/>
          <c:h val="0.6028382711802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Sheet1!$C$17</c:f>
              <c:strCache>
                <c:ptCount val="1"/>
                <c:pt idx="0">
                  <c:v>一般公共预算收入</c:v>
                </c:pt>
              </c:strCache>
            </c:strRef>
          </c:tx>
          <c:spPr>
            <a:noFill/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Sheet1!$D$16:$H$16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Sheet1!$D$17:$H$17</c:f>
              <c:numCache>
                <c:formatCode>General</c:formatCode>
                <c:ptCount val="5"/>
                <c:pt idx="0">
                  <c:v>5.1</c:v>
                </c:pt>
                <c:pt idx="1" c:formatCode="0.0">
                  <c:v>5</c:v>
                </c:pt>
                <c:pt idx="2">
                  <c:v>4.5</c:v>
                </c:pt>
                <c:pt idx="3">
                  <c:v>4.6</c:v>
                </c:pt>
                <c:pt idx="4">
                  <c:v>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407168"/>
        <c:axId val="186429824"/>
      </c:barChart>
      <c:lineChart>
        <c:grouping val="standard"/>
        <c:varyColors val="0"/>
        <c:ser>
          <c:idx val="1"/>
          <c:order val="1"/>
          <c:tx>
            <c:strRef>
              <c:f>Sheet1!$C$18</c:f>
              <c:strCache>
                <c:ptCount val="1"/>
                <c:pt idx="0">
                  <c:v>比上年增长</c:v>
                </c:pt>
              </c:strCache>
            </c:strRef>
          </c:tx>
          <c:spPr>
            <a:ln w="12700" cap="rnd" cmpd="sng" algn="ctr">
              <a:solidFill>
                <a:srgbClr val="003366"/>
              </a:solidFill>
              <a:prstDash val="solid"/>
              <a:round/>
            </a:ln>
          </c:spPr>
          <c:marker>
            <c:symbol val="diamond"/>
            <c:size val="5"/>
            <c:spPr>
              <a:solidFill>
                <a:srgbClr val="003366"/>
              </a:solidFill>
              <a:ln w="9525" cap="flat" cmpd="sng" algn="ctr">
                <a:solidFill>
                  <a:srgbClr val="003366"/>
                </a:solidFill>
                <a:prstDash val="solid"/>
                <a:round/>
              </a:ln>
            </c:spPr>
          </c:marker>
          <c:dLbls>
            <c:spPr>
              <a:noFill/>
              <a:ln w="25400"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Sheet1!$D$16:$H$16</c:f>
              <c:strCache>
                <c:ptCount val="5"/>
                <c:pt idx="0">
                  <c:v>2014年</c:v>
                </c:pt>
                <c:pt idx="1">
                  <c:v>2015年</c:v>
                </c:pt>
                <c:pt idx="2">
                  <c:v>2016年</c:v>
                </c:pt>
                <c:pt idx="3">
                  <c:v>2017年</c:v>
                </c:pt>
                <c:pt idx="4">
                  <c:v>2018年</c:v>
                </c:pt>
              </c:strCache>
            </c:strRef>
          </c:cat>
          <c:val>
            <c:numRef>
              <c:f>Sheet1!$D$18:$H$18</c:f>
              <c:numCache>
                <c:formatCode>General</c:formatCode>
                <c:ptCount val="5"/>
                <c:pt idx="0">
                  <c:v>16.4</c:v>
                </c:pt>
                <c:pt idx="1">
                  <c:v>-0.3</c:v>
                </c:pt>
                <c:pt idx="2">
                  <c:v>-10.1</c:v>
                </c:pt>
                <c:pt idx="3" c:formatCode="0.0">
                  <c:v>2</c:v>
                </c:pt>
                <c:pt idx="4">
                  <c:v>5.7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6431360"/>
        <c:axId val="186445824"/>
      </c:lineChart>
      <c:catAx>
        <c:axId val="186407168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r>
                  <a:rPr lang="zh-CN"/>
                  <a:t>亿元</a:t>
                </a:r>
                <a:endParaRPr lang="zh-CN"/>
              </a:p>
            </c:rich>
          </c:tx>
          <c:layout>
            <c:manualLayout>
              <c:xMode val="edge"/>
              <c:yMode val="edge"/>
              <c:x val="0.00874125874125874"/>
              <c:y val="0.15602861699025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in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86429824"/>
        <c:crosses val="autoZero"/>
        <c:auto val="1"/>
        <c:lblAlgn val="ctr"/>
        <c:lblOffset val="100"/>
        <c:tickLblSkip val="1"/>
        <c:noMultiLvlLbl val="0"/>
      </c:catAx>
      <c:valAx>
        <c:axId val="186429824"/>
        <c:scaling>
          <c:orientation val="minMax"/>
          <c:max val="6"/>
          <c:min val="4"/>
        </c:scaling>
        <c:delete val="0"/>
        <c:axPos val="l"/>
        <c:numFmt formatCode="General" sourceLinked="1"/>
        <c:majorTickMark val="in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86407168"/>
        <c:crosses val="autoZero"/>
        <c:crossBetween val="between"/>
        <c:majorUnit val="0.2"/>
      </c:valAx>
      <c:catAx>
        <c:axId val="186431360"/>
        <c:scaling>
          <c:orientation val="minMax"/>
        </c:scaling>
        <c:delete val="1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zh-CN" sz="1100" b="0" i="0" u="none" strike="noStrike" kern="1200" baseline="0">
                    <a:solidFill>
                      <a:schemeClr val="tx1"/>
                    </a:solidFill>
                    <a:latin typeface="宋体" panose="02010600030101010101" charset="-122"/>
                    <a:ea typeface="宋体" panose="02010600030101010101" charset="-122"/>
                    <a:cs typeface="宋体" panose="02010600030101010101" charset="-122"/>
                  </a:defRPr>
                </a:pPr>
                <a:r>
                  <a:rPr lang="en-US"/>
                  <a:t>%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938811188811189"/>
              <c:y val="0.158392683184106"/>
            </c:manualLayout>
          </c:layout>
          <c:overlay val="0"/>
          <c:spPr>
            <a:noFill/>
            <a:ln w="25400">
              <a:noFill/>
            </a:ln>
          </c:spPr>
        </c:title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86445824"/>
        <c:crosses val="autoZero"/>
        <c:auto val="1"/>
        <c:lblAlgn val="ctr"/>
        <c:lblOffset val="100"/>
        <c:noMultiLvlLbl val="0"/>
      </c:catAx>
      <c:valAx>
        <c:axId val="186445824"/>
        <c:scaling>
          <c:orientation val="minMax"/>
        </c:scaling>
        <c:delete val="0"/>
        <c:axPos val="r"/>
        <c:numFmt formatCode="General" sourceLinked="1"/>
        <c:majorTickMark val="in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/>
                </a:solidFill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defRPr>
            </a:pPr>
          </a:p>
        </c:txPr>
        <c:crossAx val="186431360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48251748251748"/>
          <c:y val="0.125295756470158"/>
          <c:w val="0.475524475524476"/>
          <c:h val="0.04964539007092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 rot="0" spcFirstLastPara="0" vertOverflow="ellipsis" vert="horz" wrap="square" anchor="ctr" anchorCtr="1"/>
        <a:lstStyle/>
        <a:p>
          <a:pPr>
            <a:defRPr lang="zh-CN" sz="1100" b="0" i="0" u="none" strike="noStrike" kern="1200" baseline="0">
              <a:solidFill>
                <a:schemeClr val="tx1"/>
              </a:solidFill>
              <a:latin typeface="宋体" panose="02010600030101010101" charset="-122"/>
              <a:ea typeface="宋体" panose="02010600030101010101" charset="-122"/>
              <a:cs typeface="宋体" panose="02010600030101010101" charset="-122"/>
            </a:defRPr>
          </a:pPr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noFill/>
      <a:prstDash val="solid"/>
      <a:round/>
    </a:ln>
  </c:spPr>
  <c:txPr>
    <a:bodyPr/>
    <a:lstStyle/>
    <a:p>
      <a:pPr>
        <a:defRPr lang="zh-CN" sz="1100" b="0" i="0" u="none" strike="noStrike" baseline="0">
          <a:solidFill>
            <a:schemeClr val="tx1"/>
          </a:solidFill>
          <a:latin typeface="宋体" panose="02010600030101010101" charset="-122"/>
          <a:ea typeface="宋体" panose="02010600030101010101" charset="-122"/>
          <a:cs typeface="宋体" panose="02010600030101010101" charset="-122"/>
        </a:defRPr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33EF5-8898-4C8D-B0B8-1FE5943F88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823</Words>
  <Characters>4696</Characters>
  <Lines>39</Lines>
  <Paragraphs>11</Paragraphs>
  <TotalTime>980</TotalTime>
  <ScaleCrop>false</ScaleCrop>
  <LinksUpToDate>false</LinksUpToDate>
  <CharactersWithSpaces>5508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2019-03-25T02:46:00Z</dcterms:created>
  <dc:creator>Administrator</dc:creator>
  <cp:lastModifiedBy>悟</cp:lastModifiedBy>
  <dcterms:modified xsi:type="dcterms:W3CDTF">2019-06-13T02:23:50Z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